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處理原則</w:t>
      </w:r>
    </w:p>
    <w:bookmarkStart w:id="10" w:name="急救---處理原則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處理原則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處理原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處理原則</w:t>
      </w:r>
    </w:p>
    <w:p>
      <w:pPr>
        <w:pStyle w:val="FirstParagraph"/>
      </w:pPr>
      <w:r>
        <w:rPr>
          <w:rFonts w:hint="eastAsia"/>
        </w:rPr>
        <w:t xml:space="preserve">1.不要任意移動傷患，將傷患至於正確的姿勢，以防病情惡化。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&lt;&lt;各種姿勢與其適應症狀&gt;&gt;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姿勢名稱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適應症狀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1.檢查時的最佳姿勢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2.做心外按摩的姿勢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3.嚴重的頭部外傷及顱骨骨折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平躺，頭肩部微墊高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平躺，頭肩部墊高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1.中風，但未完全失去知覺的患者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2.中暑，但尚未失去意識者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3.頭部外傷流血，但為失去意識者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平躺，頭肩部墊高，屈膝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1.腹部疼痛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2.腹部嚴重創傷時（橫傷----屈膝，直傷----腳伸直）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平躺，腳抬高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1.熱衰竭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2.暈倒、休克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3.下肢骨折或創傷，固定商處後應儘速抬高傷肢。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（以上情況皆在無呼吸困難及傷患未喪失意志的狀況下實施）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半坐臥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呼吸困難的傷患（如心臟病發作、胸部受傷）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側臥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1.意識不清的患者（但無脊椎骨折之患者）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2.病人意識清醒，但是口腔有分泌物流出。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復甦姿勢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1.患者脊椎未損傷，但意識不清或昏迷時。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2.嚴重中風，患者已失去意識時，肢體癱瘓的一側在下（讓分泌物或嘔吐物直接留出來，而不會留到氣管去）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2.保護傷患免於不必要的干擾。</w:t>
      </w:r>
    </w:p>
    <w:p>
      <w:pPr>
        <w:pStyle w:val="BodyText"/>
      </w:pPr>
      <w:r>
        <w:rPr>
          <w:rFonts w:hint="eastAsia"/>
        </w:rPr>
        <w:t xml:space="preserve">3.幫助傷患保暖，傷患不應該有冒汗或是發抖的現象。</w:t>
      </w:r>
    </w:p>
    <w:p>
      <w:pPr>
        <w:pStyle w:val="BodyText"/>
      </w:pPr>
      <w:r>
        <w:rPr>
          <w:rFonts w:hint="eastAsia"/>
        </w:rPr>
        <w:t xml:space="preserve">4.補充體液，給予生理食鹽水（意識不清或失去知覺、痙攣、頭、胸、腹部嚴重創傷及需要手術者，禁給任何飲料或食物）</w:t>
      </w:r>
    </w:p>
    <w:p>
      <w:pPr>
        <w:pStyle w:val="BodyText"/>
      </w:pPr>
      <w:r>
        <w:rPr>
          <w:rFonts w:hint="eastAsia"/>
        </w:rPr>
        <w:t xml:space="preserve">5.找出事故發生的原因。</w:t>
      </w:r>
    </w:p>
    <w:p>
      <w:pPr>
        <w:pStyle w:val="BodyText"/>
      </w:pPr>
      <w:r>
        <w:rPr>
          <w:rFonts w:hint="eastAsia"/>
        </w:rPr>
        <w:t xml:space="preserve">6.檢查傷患的生命現象。</w:t>
      </w:r>
    </w:p>
    <w:p>
      <w:pPr>
        <w:pStyle w:val="BodyText"/>
      </w:pPr>
      <w:r>
        <w:rPr>
          <w:rFonts w:hint="eastAsia"/>
        </w:rPr>
        <w:t xml:space="preserve">7.檢查傷患的傷勢，除非必要，不然不可除去傷患衣物，以免因為翻動傷患而加重傷情及痛苦，必要時，可以將傷處的衣服剪開。。</w:t>
      </w:r>
    </w:p>
    <w:p>
      <w:pPr>
        <w:pStyle w:val="BodyText"/>
      </w:pPr>
      <w:r>
        <w:rPr>
          <w:rFonts w:hint="eastAsia"/>
        </w:rPr>
        <w:t xml:space="preserve">8.檢查傷患是否有骨折現象，包含頭部、頸部、軀幹及四肢。</w:t>
      </w:r>
    </w:p>
    <w:p>
      <w:pPr>
        <w:pStyle w:val="BodyText"/>
      </w:pPr>
      <w:r>
        <w:rPr>
          <w:rFonts w:hint="eastAsia"/>
        </w:rPr>
        <w:t xml:space="preserve">9.注意傷患是否有抽筋現象。</w:t>
      </w:r>
    </w:p>
    <w:p>
      <w:pPr>
        <w:pStyle w:val="BodyText"/>
      </w:pPr>
      <w:r>
        <w:rPr>
          <w:rFonts w:hint="eastAsia"/>
        </w:rPr>
        <w:t xml:space="preserve">10.懷疑是中毒事件時，注意檢查傷患口唇是否有污染或灼傷的現象，或附近有無藥丸瓶、清潔劑、殺蟲劑。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處理原則</dc:title>
  <dc:creator/>
  <dc:language>zh-TW</dc:language>
  <cp:keywords/>
  <dcterms:created xsi:type="dcterms:W3CDTF">2026-10-31T07:05:10Z</dcterms:created>
  <dcterms:modified xsi:type="dcterms:W3CDTF">2026-10-31T07:05:10Z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