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星星的數量</w:t>
      </w:r>
    </w:p>
    <w:bookmarkStart w:id="14" w:name="星象---星星的數量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星星的數量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3" w:name="一星星的數量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星星的數量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>
            <w:gridSpan w:val="4"/>
          </w:tcPr>
          <w:p>
            <w:pPr>
              <w:pStyle w:val="FirstParagraph"/>
            </w:pPr>
            <w:r>
              <w:rPr>
                <w:rFonts w:hint="eastAsia"/>
              </w:rPr>
              <w:t xml:space="preserve">由於太陽的光線過於明亮，因此在白天我們無法看見星星，只有等到夕陽西沈之後，星星才會滿天閃爍地發亮。從西邊的天空開始將星星一一的數過，你將會發現多少星星呢？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一般而言，我們以肉眼可見的星星約莫6000顆，這個數字包含了在白天與太陽位於同一方位的星星，因此，通常在夜晚我們以肉眼一次可以看到星星的數量約只有3000顆，而這也只限於在四面遼闊、缺乏光害，連地平線附近的星星也都可以看見的情況時。如果只在住宅區來看，最多也只能看見2000顆左右。若在周遭有街燈等的市區裡觀看星星，所能見到的星星數量便會更少。由於地球自轉的關係，如果從傍晚看到早晨，一個晚上所能見到的星星大約有4700顆左右。</w:t>
            </w:r>
          </w:p>
        </w:tc>
      </w:tr>
      <w:tr>
        <w:tc>
          <w:tcPr>
            <w:gridSpan w:val="4"/>
          </w:tcPr>
          <w:p>
            <w:pPr>
              <w:pStyle w:val="BodyText"/>
            </w:pPr>
            <w:r>
              <w:rPr>
                <w:rFonts w:hint="eastAsia"/>
              </w:rPr>
              <w:t xml:space="preserve">雖然肉眼所見的星星只有6000顆，但是這個數量也只佔了宇宙中星星的一小部分。所謂的6000顆是透過直徑m透鏡的肉眼可見的數量。如果更進一步的以望眼鏡來看，那麼，可見星星的數量就會增加很多很多～～在我們的銀河系中，據說有2000億顆星星，而整個宇宙中，像銀河系這樣的小宇宙據說就有1000億個左右，因此，人們可以肉眼或望遠鏡看見的星星，在這龐大的宇宙中，就可以說是微乎其微了。</w:t>
            </w:r>
          </w:p>
        </w:tc>
      </w:tr>
      <w:tr>
        <w:tc>
          <w:tcPr>
            <w:gridSpan w:val="3"/>
          </w:tcPr>
          <w:p>
            <w:pPr>
              <w:pStyle w:val="BodyText"/>
            </w:pPr>
            <w:r>
              <w:rPr>
                <w:rFonts w:hint="eastAsia"/>
              </w:rPr>
              <w:t xml:space="preserve">恆星的數量</w:t>
            </w:r>
          </w:p>
        </w:tc>
        <w:tc>
          <w:tcPr>
            <w:vMerge w:val="restart"/>
          </w:tcPr>
          <w:p>
            <w:pPr>
              <w:pStyle w:val="BodyText"/>
            </w:pPr>
            <w:r>
              <w:rPr>
                <w:rFonts w:hint="eastAsia"/>
              </w:rPr>
              <w:t xml:space="preserve">不同方式可以看見的星星數量</w:t>
            </w:r>
          </w:p>
          <w:p>
            <w:pPr>
              <w:pStyle w:val="Compact"/>
            </w:pPr>
            <w:r>
              <w:drawing>
                <wp:inline>
                  <wp:extent cx="4286250" cy="5203374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file:///Users/chenzhidedemacstudio/Projects/scout-platform/apps/scout-km/media/knowledge/astronomy/67ff95d45ebf7758.jpe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5203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星等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數量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-1</w:t>
            </w:r>
          </w:p>
        </w:tc>
        <w:tc>
          <w:tcPr/>
          <w:p>
            <w:pPr>
              <w:pStyle w:val="BodyText"/>
            </w:pPr>
            <w:r>
              <w:t xml:space="preserve">2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0</w:t>
            </w:r>
          </w:p>
        </w:tc>
        <w:tc>
          <w:tcPr/>
          <w:p>
            <w:pPr>
              <w:pStyle w:val="BodyText"/>
            </w:pPr>
            <w:r>
              <w:t xml:space="preserve">7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</w:t>
            </w:r>
          </w:p>
        </w:tc>
        <w:tc>
          <w:tcPr/>
          <w:p>
            <w:pPr>
              <w:pStyle w:val="BodyText"/>
            </w:pPr>
            <w:r>
              <w:t xml:space="preserve">12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</w:t>
            </w:r>
          </w:p>
        </w:tc>
        <w:tc>
          <w:tcPr/>
          <w:p>
            <w:pPr>
              <w:pStyle w:val="BodyText"/>
            </w:pPr>
            <w:r>
              <w:t xml:space="preserve">67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3</w:t>
            </w:r>
          </w:p>
        </w:tc>
        <w:tc>
          <w:tcPr/>
          <w:p>
            <w:pPr>
              <w:pStyle w:val="BodyText"/>
            </w:pPr>
            <w:r>
              <w:t xml:space="preserve">190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4</w:t>
            </w:r>
          </w:p>
        </w:tc>
        <w:tc>
          <w:tcPr/>
          <w:p>
            <w:pPr>
              <w:pStyle w:val="BodyText"/>
            </w:pPr>
            <w:r>
              <w:t xml:space="preserve">710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5</w:t>
            </w:r>
          </w:p>
        </w:tc>
        <w:tc>
          <w:tcPr/>
          <w:p>
            <w:pPr>
              <w:pStyle w:val="BodyText"/>
            </w:pPr>
            <w:r>
              <w:t xml:space="preserve">2000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6</w:t>
            </w:r>
          </w:p>
        </w:tc>
        <w:tc>
          <w:tcPr/>
          <w:p>
            <w:pPr>
              <w:pStyle w:val="BodyText"/>
            </w:pPr>
            <w:r>
              <w:t xml:space="preserve">5600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7</w:t>
            </w:r>
          </w:p>
        </w:tc>
        <w:tc>
          <w:tcPr/>
          <w:p>
            <w:pPr>
              <w:pStyle w:val="BodyText"/>
            </w:pPr>
            <w:r>
              <w:t xml:space="preserve">16000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8</w:t>
            </w:r>
          </w:p>
        </w:tc>
        <w:tc>
          <w:tcPr/>
          <w:p>
            <w:pPr>
              <w:pStyle w:val="BodyText"/>
            </w:pPr>
            <w:r>
              <w:t xml:space="preserve">43000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9</w:t>
            </w:r>
          </w:p>
        </w:tc>
        <w:tc>
          <w:tcPr/>
          <w:p>
            <w:pPr>
              <w:pStyle w:val="BodyText"/>
            </w:pPr>
            <w:r>
              <w:t xml:space="preserve">120000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10</w:t>
            </w:r>
          </w:p>
        </w:tc>
        <w:tc>
          <w:tcPr/>
          <w:p>
            <w:pPr>
              <w:pStyle w:val="BodyText"/>
            </w:pPr>
            <w:r>
              <w:t xml:space="preserve">350000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11</w:t>
            </w:r>
          </w:p>
        </w:tc>
        <w:tc>
          <w:tcPr/>
          <w:p>
            <w:pPr>
              <w:pStyle w:val="BodyText"/>
            </w:pPr>
            <w:r>
              <w:t xml:space="preserve">870000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12</w:t>
            </w:r>
          </w:p>
        </w:tc>
        <w:tc>
          <w:tcPr/>
          <w:p>
            <w:pPr>
              <w:pStyle w:val="BodyText"/>
            </w:pPr>
            <w:r>
              <w:t xml:space="preserve">2300000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13</w:t>
            </w:r>
          </w:p>
        </w:tc>
        <w:tc>
          <w:tcPr/>
          <w:p>
            <w:pPr>
              <w:pStyle w:val="BodyText"/>
            </w:pPr>
            <w:r>
              <w:t xml:space="preserve">5600000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14</w:t>
            </w:r>
          </w:p>
        </w:tc>
        <w:tc>
          <w:tcPr/>
          <w:p>
            <w:pPr>
              <w:pStyle w:val="BodyText"/>
            </w:pPr>
            <w:r>
              <w:t xml:space="preserve">13000000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15</w:t>
            </w:r>
          </w:p>
        </w:tc>
        <w:tc>
          <w:tcPr/>
          <w:p>
            <w:pPr>
              <w:pStyle w:val="BodyText"/>
            </w:pPr>
            <w:r>
              <w:t xml:space="preserve">32000000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16</w:t>
            </w:r>
          </w:p>
        </w:tc>
        <w:tc>
          <w:tcPr/>
          <w:p>
            <w:pPr>
              <w:pStyle w:val="BodyText"/>
            </w:pPr>
            <w:r>
              <w:t xml:space="preserve">69000000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17</w:t>
            </w:r>
          </w:p>
        </w:tc>
        <w:tc>
          <w:tcPr/>
          <w:p>
            <w:pPr>
              <w:pStyle w:val="BodyText"/>
            </w:pPr>
            <w:r>
              <w:t xml:space="preserve">140000000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18</w:t>
            </w:r>
          </w:p>
        </w:tc>
        <w:tc>
          <w:tcPr/>
          <w:p>
            <w:pPr>
              <w:pStyle w:val="BodyText"/>
            </w:pPr>
            <w:r>
              <w:t xml:space="preserve">280000000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19</w:t>
            </w:r>
          </w:p>
        </w:tc>
        <w:tc>
          <w:tcPr/>
          <w:p>
            <w:pPr>
              <w:pStyle w:val="BodyText"/>
            </w:pPr>
            <w:r>
              <w:t xml:space="preserve">420000000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20</w:t>
            </w:r>
          </w:p>
        </w:tc>
        <w:tc>
          <w:tcPr/>
          <w:p>
            <w:pPr>
              <w:pStyle w:val="BodyText"/>
            </w:pPr>
            <w:r>
              <w:t xml:space="preserve">710000000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BodyText"/>
            </w:pPr>
            <w:r>
              <w:t xml:space="preserve">21</w:t>
            </w:r>
          </w:p>
        </w:tc>
        <w:tc>
          <w:tcPr/>
          <w:p>
            <w:pPr>
              <w:pStyle w:val="BodyText"/>
            </w:pPr>
            <w:r>
              <w:t xml:space="preserve">1300000000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>
            <w:gridSpan w:val="1"/>
            <w:vMerge w:val="continue"/>
          </w:tcPr>
          <w:p>
            <w:pPr/>
          </w:p>
        </w:tc>
      </w:tr>
    </w:tbl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肉眼可見恆星</w:t>
      </w:r>
      <w:r>
        <w:rPr>
          <w:rFonts w:hint="eastAsia"/>
        </w:rPr>
        <w:t xml:space="preserve">：全天約</w:t>
      </w:r>
      <w:r>
        <w:t xml:space="preserve"> 9,000 </w:t>
      </w:r>
      <w:r>
        <w:rPr>
          <w:rFonts w:hint="eastAsia"/>
        </w:rPr>
        <w:t xml:space="preserve">顆（含地平線下），任一時間單眼只能見約</w:t>
      </w:r>
      <w:r>
        <w:t xml:space="preserve"> 4,500 </w:t>
      </w:r>
      <w:r>
        <w:rPr>
          <w:rFonts w:hint="eastAsia"/>
        </w:rPr>
        <w:t xml:space="preserve">顆。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銀河系恆星數</w:t>
      </w:r>
      <w:r>
        <w:rPr>
          <w:rFonts w:hint="eastAsia"/>
        </w:rPr>
        <w:t xml:space="preserve">：估計</w:t>
      </w:r>
      <w:r>
        <w:t xml:space="preserve"> 1,000~4,000 </w:t>
      </w:r>
      <w:r>
        <w:rPr>
          <w:rFonts w:hint="eastAsia"/>
        </w:rPr>
        <w:t xml:space="preserve">億顆。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可觀測宇宙星系數</w:t>
      </w:r>
      <w:r>
        <w:rPr>
          <w:rFonts w:hint="eastAsia"/>
        </w:rPr>
        <w:t xml:space="preserve">：約</w:t>
      </w:r>
      <w:r>
        <w:t xml:space="preserve"> 2 </w:t>
      </w:r>
      <w:r>
        <w:rPr>
          <w:rFonts w:hint="eastAsia"/>
        </w:rPr>
        <w:t xml:space="preserve">兆個星系；總恆星數約</w:t>
      </w:r>
      <w:r>
        <w:t xml:space="preserve"> 10²² ~ 10²⁴ </w:t>
      </w:r>
      <w:r>
        <w:rPr>
          <w:rFonts w:hint="eastAsia"/>
        </w:rPr>
        <w:t xml:space="preserve">顆——</w:t>
      </w:r>
      <w:r>
        <w:t xml:space="preserve"> </w:t>
      </w:r>
      <w:r>
        <w:rPr>
          <w:rFonts w:hint="eastAsia"/>
        </w:rPr>
        <w:t xml:space="preserve">比地球上所有沙粒還多。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太陽系附近</w:t>
      </w:r>
      <w:r>
        <w:rPr>
          <w:rFonts w:hint="eastAsia"/>
        </w:rPr>
        <w:t xml:space="preserve">：10</w:t>
      </w:r>
      <w:r>
        <w:t xml:space="preserve"> </w:t>
      </w:r>
      <w:r>
        <w:rPr>
          <w:rFonts w:hint="eastAsia"/>
        </w:rPr>
        <w:t xml:space="preserve">光年內僅</w:t>
      </w:r>
      <w:r>
        <w:t xml:space="preserve"> 11 </w:t>
      </w:r>
      <w:r>
        <w:rPr>
          <w:rFonts w:hint="eastAsia"/>
        </w:rPr>
        <w:t xml:space="preserve">顆恆星，最近的是</w:t>
      </w:r>
      <w:r>
        <w:rPr>
          <w:rFonts w:hint="eastAsia"/>
          <w:b/>
          <w:bCs/>
        </w:rPr>
        <w:t xml:space="preserve">比鄰星</w:t>
      </w:r>
      <w:r>
        <w:rPr>
          <w:rFonts w:hint="eastAsia"/>
        </w:rPr>
        <w:t xml:space="preserve">（4.24</w:t>
      </w:r>
      <w:r>
        <w:t xml:space="preserve"> </w:t>
      </w:r>
      <w:r>
        <w:rPr>
          <w:rFonts w:hint="eastAsia"/>
        </w:rPr>
        <w:t xml:space="preserve">光年）。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觀星實際情況</w:t>
      </w:r>
      <w:r>
        <w:rPr>
          <w:rFonts w:hint="eastAsia"/>
        </w:rPr>
        <w:t xml:space="preserve">：四面遼闊無光害處肉眼一晚可見約</w:t>
      </w:r>
      <w:r>
        <w:t xml:space="preserve"> 3,000 </w:t>
      </w:r>
      <w:r>
        <w:rPr>
          <w:rFonts w:hint="eastAsia"/>
        </w:rPr>
        <w:t xml:space="preserve">顆；都市僅</w:t>
      </w:r>
      <w:r>
        <w:t xml:space="preserve"> 100~500 </w:t>
      </w:r>
      <w:r>
        <w:rPr>
          <w:rFonts w:hint="eastAsia"/>
        </w:rPr>
        <w:t xml:space="preserve">顆。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2">
        <w:r>
          <w:rPr>
            <w:rStyle w:val="Hyperlink"/>
          </w:rPr>
          <w:t xml:space="preserve">ESA — How many stars are there?</w:t>
        </w:r>
      </w:hyperlink>
    </w:p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Relationship Type="http://schemas.openxmlformats.org/officeDocument/2006/relationships/hyperlink" Id="rId12" Target="https://www.esa.int/Science_Exploration/Space_Science/Herschel/How_many_stars_are_there_in_the_Univer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https://www.esa.int/Science_Exploration/Space_Science/Herschel/How_many_stars_are_there_in_the_Univer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星星的數量</dc:title>
  <dc:creator/>
  <dc:language>zh-TW</dc:language>
  <cp:keywords/>
  <dcterms:created xsi:type="dcterms:W3CDTF">2026-06-30T21:27:42Z</dcterms:created>
  <dcterms:modified xsi:type="dcterms:W3CDTF">2026-06-30T21:27:42Z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