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地圖上的紅點</w:t>
      </w:r>
    </w:p>
    <w:bookmarkStart w:id="10" w:name="童軍精神故事集---地圖上的紅點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地圖上的紅點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地圖上的紅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地圖上的紅點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方向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童軍是指南針上的指北箭頭</w:t>
      </w:r>
      <w:r>
        <w:t xml:space="preserve">」——B-P </w:t>
      </w:r>
      <w:r>
        <w:rPr>
          <w:rFonts w:hint="eastAsia"/>
        </w:rPr>
        <w:t xml:space="preserve">對童軍徽的詮釋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阿凱第一次拿到</w:t>
      </w:r>
      <w:r>
        <w:t xml:space="preserve"> 1:25000 </w:t>
      </w:r>
      <w:r>
        <w:rPr>
          <w:rFonts w:hint="eastAsia"/>
        </w:rPr>
        <w:t xml:space="preserve">的等高線圖，攤開在桌上，看起來像一張全是線的紙。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他看不懂。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團長坐在他旁邊，把指北針放到地圖上：「我教你一個方法。」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「先看你站的地方。」團長指向窗外：「外面那條路、那座山、那條河——把它們在地圖上找出來，畫一個紅點。那是你現在在的地方。」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阿凱對照了十分鐘，畫了一個紅點。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「然後看你想去的地方。」團長指向遠處山頭：「那裡是合歡北峰。在地圖上找它，畫一個紅點。」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阿凱又找了五分鐘，畫了第二個紅點。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「現在，」團長說，「</w:t>
      </w:r>
      <w:r>
        <w:rPr>
          <w:rFonts w:hint="eastAsia"/>
          <w:b/>
          <w:bCs/>
        </w:rPr>
        <w:t xml:space="preserve">中間怎麼走，再回來看地圖。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「不要先看地圖選最近的路。要先看兩個紅點，看你</w:t>
      </w:r>
      <w:r>
        <w:rPr>
          <w:rFonts w:hint="eastAsia"/>
          <w:b/>
          <w:bCs/>
        </w:rPr>
        <w:t xml:space="preserve">從哪裡來，要往哪裡去</w:t>
      </w:r>
      <w:r>
        <w:rPr>
          <w:rFonts w:hint="eastAsia"/>
        </w:rPr>
        <w:t xml:space="preserve">。然後再看中間有什麼。」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阿凱那天下午學會了等高線圖。但他學會的不只是這個。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多年以後，他離開童軍團，進了大學，進了職場。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某些迷惘的夜晚——不知道讀什麼科系、不知道做什麼工作、不知道愛誰、不知道未來——他常常想起那一個下午。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不要先看地圖。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先看你站的地方。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再看你想去的地方。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中間的路，再慢慢規劃。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童軍方法裡有一句話：「童軍是指南針上的指北箭頭。」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那不是地圖。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方向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每一個迷路的人都需要方向，不是一條路。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地圖上的紅點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