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童軍銘言</w:t>
      </w:r>
    </w:p>
    <w:bookmarkStart w:id="13" w:name="諾言規律與銘言---童軍銘言"/>
    <w:p>
      <w:pPr>
        <w:pStyle w:val="Heading1"/>
      </w:pPr>
      <w:r>
        <w:rPr>
          <w:rFonts w:hint="eastAsia"/>
        </w:rPr>
        <w:t xml:space="preserve">諾言、規律與銘言</w:t>
      </w:r>
      <w:r>
        <w:t xml:space="preserve"> - </w:t>
      </w:r>
      <w:r>
        <w:rPr>
          <w:rFonts w:hint="eastAsia"/>
        </w:rPr>
        <w:t xml:space="preserve">童軍銘言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童軍銘言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先生勸勉全世界童軍的共同銘言是:準備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中國童子軍和中華民國女童軍的銘言是:</w:t>
      </w:r>
    </w:p>
    <w:p>
      <w:pPr>
        <w:pStyle w:val="BodyText"/>
      </w:pPr>
      <w:r>
        <w:rPr>
          <w:rFonts w:hint="eastAsia"/>
        </w:rPr>
        <w:t xml:space="preserve">1.準備</w:t>
      </w:r>
    </w:p>
    <w:p>
      <w:pPr>
        <w:pStyle w:val="BodyText"/>
      </w:pPr>
      <w:r>
        <w:rPr>
          <w:rFonts w:hint="eastAsia"/>
        </w:rPr>
        <w:t xml:space="preserve">2.日行一善</w:t>
      </w:r>
    </w:p>
    <w:p>
      <w:pPr>
        <w:pStyle w:val="BodyText"/>
      </w:pPr>
      <w:r>
        <w:rPr>
          <w:rFonts w:hint="eastAsia"/>
        </w:rPr>
        <w:t xml:space="preserve">3.人生以服務為目的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詳細說明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中華民國童軍三大銘言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b/>
          <w:bCs/>
        </w:rPr>
        <w:t xml:space="preserve">　　① </w:t>
      </w:r>
      <w:r>
        <w:rPr>
          <w:rFonts w:hint="eastAsia"/>
          <w:b/>
          <w:bCs/>
        </w:rPr>
        <w:t xml:space="preserve">準備（Be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</w:t>
      </w:r>
      <w:r>
        <w:rPr>
          <w:rFonts w:hint="eastAsia"/>
        </w:rPr>
        <w:t xml:space="preserve">—貝登堡</w:t>
      </w:r>
      <w:r>
        <w:t xml:space="preserve"> 1907 </w:t>
      </w:r>
      <w:r>
        <w:rPr>
          <w:rFonts w:hint="eastAsia"/>
        </w:rPr>
        <w:t xml:space="preserve">年提出，意為時時做好</w:t>
      </w:r>
      <w:r>
        <w:rPr>
          <w:rFonts w:hint="eastAsia"/>
          <w:b/>
          <w:bCs/>
        </w:rPr>
        <w:t xml:space="preserve">身體與心理的準備</w:t>
      </w:r>
      <w:r>
        <w:rPr>
          <w:rFonts w:hint="eastAsia"/>
        </w:rPr>
        <w:t xml:space="preserve">，以承擔責任、應對任何狀況。</w:t>
      </w:r>
    </w:p>
    <w:p>
      <w:pPr>
        <w:pStyle w:val="BodyText"/>
      </w:pPr>
      <w:r>
        <w:rPr>
          <w:b/>
          <w:bCs/>
        </w:rPr>
        <w:t xml:space="preserve">　　② </w:t>
      </w:r>
      <w:r>
        <w:rPr>
          <w:rFonts w:hint="eastAsia"/>
          <w:b/>
          <w:bCs/>
        </w:rPr>
        <w:t xml:space="preserve">日行一善</w:t>
      </w:r>
      <w:r>
        <w:rPr>
          <w:rFonts w:hint="eastAsia"/>
        </w:rPr>
        <w:t xml:space="preserve">—每天至少做一件善事，由小積大；對應規律第</w:t>
      </w:r>
      <w:r>
        <w:t xml:space="preserve"> 3 </w:t>
      </w:r>
      <w:r>
        <w:rPr>
          <w:rFonts w:hint="eastAsia"/>
        </w:rPr>
        <w:t xml:space="preserve">條「助人」。</w:t>
      </w:r>
    </w:p>
    <w:p>
      <w:pPr>
        <w:pStyle w:val="BodyText"/>
      </w:pPr>
      <w:r>
        <w:rPr>
          <w:b/>
          <w:bCs/>
        </w:rPr>
        <w:t xml:space="preserve">　　③ </w:t>
      </w:r>
      <w:r>
        <w:rPr>
          <w:rFonts w:hint="eastAsia"/>
          <w:b/>
          <w:bCs/>
        </w:rPr>
        <w:t xml:space="preserve">人生以服務為目的</w:t>
      </w:r>
      <w:r>
        <w:rPr>
          <w:rFonts w:hint="eastAsia"/>
        </w:rPr>
        <w:t xml:space="preserve">—國父孫中山先生語錄；服務是童軍信奉的人生終極價值。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「BP」雙重意義</w:t>
      </w:r>
      <w:r>
        <w:rPr>
          <w:rFonts w:hint="eastAsia"/>
        </w:rPr>
        <w:t xml:space="preserve">—英文</w:t>
      </w:r>
      <w:r>
        <w:t xml:space="preserve"> </w:t>
      </w:r>
      <w:r>
        <w:rPr>
          <w:b/>
          <w:bCs/>
        </w:rPr>
        <w:t xml:space="preserve">Be Prepared</w:t>
      </w:r>
      <w:r>
        <w:t xml:space="preserve"> </w:t>
      </w:r>
      <w:r>
        <w:rPr>
          <w:rFonts w:hint="eastAsia"/>
        </w:rPr>
        <w:t xml:space="preserve">的縮寫，恰與創始人貝登堡（</w:t>
      </w:r>
      <w:r>
        <w:rPr>
          <w:b/>
          <w:bCs/>
        </w:rPr>
        <w:t xml:space="preserve">Baden-Powell</w:t>
      </w:r>
      <w:r>
        <w:rPr>
          <w:rFonts w:hint="eastAsia"/>
        </w:rPr>
        <w:t xml:space="preserve">）姓名首字相同，是貝登堡刻意設計的離合詩。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各國類似銘言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・蘇聯少先隊：「Always</w:t>
      </w:r>
      <w:r>
        <w:t xml:space="preserve"> </w:t>
      </w:r>
      <w:r>
        <w:rPr>
          <w:rFonts w:hint="eastAsia"/>
        </w:rPr>
        <w:t xml:space="preserve">Prepared」（永遠準備好）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・美國海岸防衛隊：「Semper</w:t>
      </w:r>
      <w:r>
        <w:t xml:space="preserve"> </w:t>
      </w:r>
      <w:r>
        <w:rPr>
          <w:rFonts w:hint="eastAsia"/>
        </w:rPr>
        <w:t xml:space="preserve">Paratus」（拉丁文：永遠準備好）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・耶穌會：「Estote</w:t>
      </w:r>
      <w:r>
        <w:t xml:space="preserve"> </w:t>
      </w:r>
      <w:r>
        <w:rPr>
          <w:rFonts w:hint="eastAsia"/>
        </w:rPr>
        <w:t xml:space="preserve">Parati」（拉丁文：要準備好）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  <w:rFonts w:hint="eastAsia"/>
          </w:rPr>
          <w:t xml:space="preserve">中華民國童軍總會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諾言、規律、銘言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童軍銘言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Wikipedia — Scout Motto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s://en.wikipedia.org/wiki/Scout_motto" TargetMode="External" /><Relationship Type="http://schemas.openxmlformats.org/officeDocument/2006/relationships/hyperlink" Id="rId9" Target="https://www.scout.org.tw/autopage/70/468" TargetMode="External" /><Relationship Type="http://schemas.openxmlformats.org/officeDocument/2006/relationships/hyperlink" Id="rId10" Target="https://zh.wikipedia.org/zh-tw/%E7%AB%A5%E8%BB%8D%E9%8A%98%E8%A8%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s://en.wikipedia.org/wiki/Scout_motto" TargetMode="External" /><Relationship Type="http://schemas.openxmlformats.org/officeDocument/2006/relationships/hyperlink" Id="rId9" Target="https://www.scout.org.tw/autopage/70/468" TargetMode="External" /><Relationship Type="http://schemas.openxmlformats.org/officeDocument/2006/relationships/hyperlink" Id="rId10" Target="https://zh.wikipedia.org/zh-tw/%E7%AB%A5%E8%BB%8D%E9%8A%98%E8%A8%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諾言、規律與銘言 - 童軍銘言</dc:title>
  <dc:creator/>
  <dc:language>zh-TW</dc:language>
  <cp:keywords/>
  <dcterms:created xsi:type="dcterms:W3CDTF">2026-06-30T21:29:48Z</dcterms:created>
  <dcterms:modified xsi:type="dcterms:W3CDTF">2026-06-30T21:29:48Z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